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2850370" cy="85782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0370" cy="857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ANEXO I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- CURRÍCULO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CURRÍCULO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</w:r>
    </w:p>
    <w:tbl>
      <w:tblPr>
        <w:tblStyle w:val="Table1"/>
        <w:tblW w:w="8528.0" w:type="dxa"/>
        <w:jc w:val="left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822"/>
        <w:gridCol w:w="4706"/>
        <w:tblGridChange w:id="0">
          <w:tblGrid>
            <w:gridCol w:w="3822"/>
            <w:gridCol w:w="4706"/>
          </w:tblGrid>
        </w:tblGridChange>
      </w:tblGrid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DADOS PESSOAIS DO(A)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FORMAÇÃO: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RESUMO CURRICULAR (Não ultrapassar uma página)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LISTA DAS COMPROVAÇÕES CURRICULARES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(listar abaixo as comprovações curriculares que serão anexadas a este documento na ordem em que aparecem)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Nº da comprovação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Nome da Comprovação/Documento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f6qz4WmIk/aO3ZQrdR6YDUGFA==">CgMxLjA4AHIhMUxoTEd4VlplUGtNajRyMmszcHViOWZJX05iUHJiYzZP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1046-12.2.0.18639</vt:lpwstr>
  </property>
  <property fmtid="{D5CDD505-2E9C-101B-9397-08002B2CF9AE}" pid="3" name="ICV">
    <vt:lpwstr>2B038A36D4034E77837A232D5DB43268_13</vt:lpwstr>
  </property>
</Properties>
</file>